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ascii="黑体" w:eastAsia="黑体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西南政法大学2021年篮球高水平运动员专项测试标准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我校20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年高水平运动队招生项目为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男子篮球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和女子篮球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。招生项目体育专项测试内容、测试方法及评分标准及安全预案如下：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一、专项测试内容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专项考试满分100分。投篮（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0分）、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多种变向运球上篮（后卫、小前锋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20分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）、助跑摸高（大前锋、中锋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20分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）、四线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折返跑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0分）、实战能力 全场5对5（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分）共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项内容。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备注：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在国家体育总局篮球运动管理中心注册的运动员不能参加测试。2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使用 7 号球，女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使用 6 号球。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测试方法及评分标准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投篮（20分）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1.测试办法：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大前锋、中锋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两分球测试（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大前锋、中锋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队员也可选择三分），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后卫、小前锋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三分球测试。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2.成绩要求：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后卫、小前锋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三分投篮，两分钟自投自抢，投篮点不限。内线队员：4.5米范围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投篮，一分钟自投自抢，投篮点不限。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3.命中（15分）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投中得分15分：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后卫、小前锋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队员投中一球得1.5分，投中10球为满分。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大前锋、中锋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投中一球得1分，投中15球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为满分。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Lines="0" w:after="100"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评（5分）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Lines="0" w:after="100"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重点是投篮手型，身体平衡，移动速度，脚步技术动作。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技术评分标准：很好完成5分；较好完成4分；基本完成2-3分；勉强完成1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-2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分；不能够完成0分。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eastAsia="zh-CN"/>
        </w:rPr>
        <w:t>（二）多种变向运球上篮（后卫、小前锋，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val="en-US" w:eastAsia="zh-CN"/>
        </w:rPr>
        <w:t>20分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5" w:line="580" w:lineRule="exact"/>
        <w:ind w:left="110" w:right="198" w:firstLine="396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测试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方法：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5" w:line="580" w:lineRule="exact"/>
        <w:ind w:right="198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231F20"/>
          <w:sz w:val="32"/>
          <w:szCs w:val="32"/>
          <w:lang w:val="en-US" w:eastAsia="zh-CN"/>
        </w:rPr>
        <w:t>A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如图所示，考生在球场端线中点外出发区持球站立，当其身体任意部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2"/>
          <w:sz w:val="32"/>
          <w:szCs w:val="32"/>
          <w:lang w:eastAsia="zh-CN"/>
        </w:rPr>
        <w:t>位穿过端线外沿的垂直面时开始计时。考生用右手运球至①处，在①处做右手背后运球，换左手向②处运球，至②处做左手后转身运球，换右手运球至③处，在③处做右手胯下运球后右手上篮。球中篮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直面时停止计时，记录完成的时间。每人测试2次，取最好成绩。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" w:line="580" w:lineRule="exact"/>
        <w:ind w:left="0" w:lef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231F20"/>
          <w:sz w:val="32"/>
          <w:szCs w:val="32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篮球场地上的标志①、②、③为以40厘米为半径的圆圈。①、③圆圈中心点到端线内的距离为6米，到边线内沿的距离为2米。②在中线上，到中圈中心点的距离为2.8米。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" w:line="580" w:lineRule="exact"/>
        <w:ind w:left="0" w:leftChars="0" w:firstLine="655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231F20"/>
          <w:spacing w:val="3"/>
          <w:sz w:val="32"/>
          <w:szCs w:val="32"/>
          <w:lang w:val="en-US" w:eastAsia="zh-CN"/>
        </w:rPr>
        <w:t>C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3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3"/>
          <w:sz w:val="32"/>
          <w:szCs w:val="32"/>
          <w:lang w:eastAsia="zh-CN"/>
        </w:rPr>
        <w:t>考生在考试时必须任意一脚踩到圆圈线或圆圈内地面，方可运球变向，否则视为无效，不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予计分；运球上篮时必须投中，若球未投中仍继续带球前进，则视为无效，不予计分。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right="0"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231F20"/>
          <w:sz w:val="32"/>
          <w:szCs w:val="32"/>
          <w:lang w:val="en-US" w:eastAsia="zh-CN"/>
        </w:rPr>
        <w:t>D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考生在运球行进的过程中不得违例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9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每次违例计时追加1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45"/>
          <w:sz w:val="32"/>
          <w:szCs w:val="32"/>
          <w:lang w:eastAsia="zh-CN"/>
        </w:rPr>
        <w:t>秒；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必须使用规定的手上篮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9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错1次，计时追加1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24"/>
          <w:sz w:val="32"/>
          <w:szCs w:val="32"/>
          <w:lang w:eastAsia="zh-CN"/>
        </w:rPr>
        <w:t>秒；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胯下变向运球时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4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必须从体前由内侧向外侧变向运球换手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4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且双脚不能离开地面， 错1次计时追加1秒。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" w:line="360" w:lineRule="auto"/>
        <w:ind w:right="82" w:hanging="397"/>
        <w:textAlignment w:val="auto"/>
        <w:rPr>
          <w:rFonts w:hint="eastAsia" w:ascii="宋体" w:hAnsi="宋体" w:eastAsia="宋体" w:cs="宋体"/>
          <w:b w:val="0"/>
          <w:bCs w:val="0"/>
          <w:color w:val="231F20"/>
          <w:sz w:val="20"/>
          <w:szCs w:val="20"/>
          <w:lang w:eastAsia="zh-CN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114300" distR="114300">
            <wp:extent cx="4090035" cy="2357120"/>
            <wp:effectExtent l="0" t="0" r="5715" b="508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9"/>
        <w:ind w:right="2542" w:firstLine="2160" w:firstLineChars="1200"/>
        <w:jc w:val="both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多种变向运球上篮示意图</w:t>
      </w:r>
    </w:p>
    <w:p>
      <w:pPr>
        <w:spacing w:line="360" w:lineRule="exact"/>
        <w:ind w:firstLine="400" w:firstLineChars="200"/>
        <w:rPr>
          <w:rFonts w:hint="eastAsia"/>
          <w:b w:val="0"/>
          <w:bCs w:val="0"/>
          <w:sz w:val="20"/>
          <w:szCs w:val="20"/>
          <w:lang w:val="en-US" w:eastAsia="zh-CN"/>
        </w:rPr>
      </w:pPr>
    </w:p>
    <w:p>
      <w:pPr>
        <w:spacing w:line="360" w:lineRule="exact"/>
        <w:ind w:firstLine="640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评分标准</w:t>
      </w:r>
    </w:p>
    <w:p>
      <w:pPr>
        <w:pStyle w:val="2"/>
        <w:spacing w:before="10"/>
        <w:ind w:left="2839"/>
        <w:jc w:val="left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2"/>
        <w:spacing w:before="10"/>
        <w:ind w:left="2839"/>
        <w:jc w:val="left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2"/>
        <w:spacing w:before="10"/>
        <w:ind w:left="28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多种变向运球上篮评分表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4"/>
        <w:tblW w:w="8316" w:type="dxa"/>
        <w:tblInd w:w="8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62.00</w:t>
            </w:r>
          </w:p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以上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63.00</w:t>
            </w:r>
          </w:p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以上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51.50</w:t>
            </w: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8.80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8.40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52.50</w:t>
            </w: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</w:tbl>
    <w:p>
      <w:pPr>
        <w:pStyle w:val="2"/>
        <w:spacing w:before="41"/>
        <w:ind w:left="0" w:leftChars="0" w:firstLine="0" w:firstLineChars="0"/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24"/>
          <w:szCs w:val="24"/>
          <w:lang w:eastAsia="zh-CN"/>
        </w:rPr>
      </w:pPr>
    </w:p>
    <w:p>
      <w:pPr>
        <w:pStyle w:val="2"/>
        <w:spacing w:before="41"/>
        <w:ind w:left="0" w:leftChars="0" w:firstLine="0" w:firstLineChars="0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eastAsia="zh-CN"/>
        </w:rPr>
        <w:t>（三）助跑摸高（大前锋、中锋，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val="en-US" w:eastAsia="zh-CN"/>
        </w:rPr>
        <w:t>20分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231F20"/>
          <w:sz w:val="32"/>
          <w:szCs w:val="32"/>
          <w:lang w:eastAsia="zh-CN"/>
        </w:rPr>
        <w:t>）</w:t>
      </w:r>
    </w:p>
    <w:p>
      <w:pPr>
        <w:pStyle w:val="2"/>
        <w:spacing w:before="65"/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1.测试方法</w:t>
      </w:r>
    </w:p>
    <w:p>
      <w:pPr>
        <w:pStyle w:val="2"/>
        <w:spacing w:before="65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考生助跑起跳摸高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5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单手触摸电子摸高器或有固定标尺的高物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pacing w:val="-5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记录绝对高度。助跑距离和起跳方式不限。每人测试2次，取最好成绩（精确到厘米）。</w:t>
      </w:r>
    </w:p>
    <w:p>
      <w:pPr>
        <w:pStyle w:val="2"/>
        <w:numPr>
          <w:ilvl w:val="0"/>
          <w:numId w:val="2"/>
        </w:numPr>
        <w:ind w:left="110" w:leftChars="0" w:firstLine="396" w:firstLineChars="0"/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231F20"/>
          <w:sz w:val="32"/>
          <w:szCs w:val="32"/>
          <w:lang w:eastAsia="zh-CN"/>
        </w:rPr>
        <w:t>评分标准</w:t>
      </w:r>
    </w:p>
    <w:p>
      <w:pPr>
        <w:pStyle w:val="2"/>
        <w:spacing w:before="145"/>
        <w:ind w:left="2451" w:right="2542"/>
        <w:jc w:val="center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31F20"/>
          <w:lang w:eastAsia="zh-CN"/>
        </w:rPr>
        <w:t>助跑摸高评分表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4"/>
        <w:tblW w:w="8499" w:type="dxa"/>
        <w:tblInd w:w="9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945"/>
        <w:gridCol w:w="944"/>
        <w:gridCol w:w="944"/>
        <w:gridCol w:w="945"/>
        <w:gridCol w:w="944"/>
        <w:gridCol w:w="944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分值</w:t>
            </w:r>
          </w:p>
        </w:tc>
        <w:tc>
          <w:tcPr>
            <w:tcW w:w="18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成绩（米）</w:t>
            </w:r>
          </w:p>
        </w:tc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分值</w:t>
            </w:r>
          </w:p>
        </w:tc>
        <w:tc>
          <w:tcPr>
            <w:tcW w:w="18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成绩（米）</w:t>
            </w:r>
          </w:p>
        </w:tc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分值</w:t>
            </w:r>
          </w:p>
        </w:tc>
        <w:tc>
          <w:tcPr>
            <w:tcW w:w="18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成绩（米）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男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女</w:t>
            </w:r>
          </w:p>
        </w:tc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男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女</w:t>
            </w:r>
          </w:p>
        </w:tc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男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3.45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14.30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8.60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3.07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  <w:lang w:eastAsia="zh-CN"/>
              </w:rPr>
              <w:t>19.60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3.44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14.00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8.30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  <w:lang w:eastAsia="zh-CN"/>
              </w:rPr>
              <w:t>19.20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3.43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13.70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8.00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08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19.10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3.42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13.40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7.70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18.80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3.41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13.10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7.40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18.50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3.40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12.80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7.10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18.20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12.50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6.80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17.90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12.20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6.50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17.60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3.37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11.90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6.20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17.30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11.60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3.17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5.90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17.00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11.30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5.60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16.70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5.30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16.40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10.70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5.00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2.90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16.10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10.40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4.70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15.80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10.10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4.40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15.50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9.80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4.10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15.20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9.50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3.80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14.90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9.20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3.50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14.60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3.27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8.90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3.08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2.63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2.80 以下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color w:val="231F20"/>
                <w:kern w:val="36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F20"/>
                <w:sz w:val="20"/>
                <w:szCs w:val="20"/>
              </w:rPr>
              <w:t>2.40 以下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231F2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四线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折返跑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测试在28米×15米的篮球场进行。以近端底线为起点，依次在近端罚球线、中线、远端罚球线、远端底线折返至起点的折返跑测试。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按完成时间计分。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测试要求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必须从端线外出发，每次折返时前脚必须踩线或踏线。否则成绩无效。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出现未按要求踩线或踏线、抢跑等违规行为者，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违规一次扣2分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400" w:lineRule="exact"/>
        <w:ind w:firstLine="643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19050</wp:posOffset>
            </wp:positionV>
            <wp:extent cx="2457450" cy="2990850"/>
            <wp:effectExtent l="0" t="0" r="0" b="0"/>
            <wp:wrapNone/>
            <wp:docPr id="2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480" w:firstLineChars="200"/>
        <w:rPr>
          <w:rFonts w:hint="eastAsia" w:eastAsia="宋体"/>
          <w:b w:val="0"/>
          <w:bCs w:val="0"/>
          <w:sz w:val="24"/>
          <w:szCs w:val="24"/>
          <w:lang w:eastAsia="zh-CN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b w:val="0"/>
          <w:bCs w:val="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3.评分标准</w:t>
      </w:r>
    </w:p>
    <w:p>
      <w:pPr>
        <w:spacing w:line="400" w:lineRule="exact"/>
        <w:rPr>
          <w:rFonts w:hint="eastAsia"/>
          <w:b w:val="0"/>
          <w:bCs w:val="0"/>
          <w:sz w:val="24"/>
          <w:szCs w:val="24"/>
        </w:rPr>
      </w:pPr>
    </w:p>
    <w:tbl>
      <w:tblPr>
        <w:tblStyle w:val="4"/>
        <w:tblW w:w="9634" w:type="dxa"/>
        <w:tblInd w:w="2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426"/>
        <w:gridCol w:w="538"/>
        <w:gridCol w:w="596"/>
        <w:gridCol w:w="393"/>
        <w:gridCol w:w="599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计时（秒）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≤28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28.5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31.5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&gt;35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31.5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34.5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&gt;38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得分（分）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9.5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8.5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7.5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6.5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5.5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spacing w:line="400" w:lineRule="exact"/>
        <w:rPr>
          <w:rFonts w:hint="eastAsia" w:ascii="方正楷体简体" w:hAnsi="方正楷体简体" w:eastAsia="方正楷体简体" w:cs="方正楷体简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）实战能力全场五对五（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zh-CN"/>
        </w:rPr>
        <w:t>采用综合评分办法。按队员报名时的位置进行分组：五人一组，进行比赛，每组比赛用时10-20分钟 （可根据实际测试人数进行时间调整） 按中锋、前锋、后卫三个不同位置各自的任务和应起的作用作为考核重点，以受试者所掌握的技术规格程度，技术运用效果，战术配合意识，实战能力和比赛作风等方面，进行综合评分。</w:t>
      </w:r>
    </w:p>
    <w:p>
      <w:pPr>
        <w:autoSpaceDE w:val="0"/>
        <w:autoSpaceDN w:val="0"/>
        <w:snapToGrid/>
        <w:spacing w:beforeLines="0" w:after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tbl>
      <w:tblPr>
        <w:tblStyle w:val="4"/>
        <w:tblW w:w="0" w:type="auto"/>
        <w:tblInd w:w="7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6"/>
        <w:gridCol w:w="58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位置</w:t>
            </w: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评分标准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中锋</w:t>
            </w: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a.封盖、盖帽、内线强攻得分能力；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b.进攻篮板球，补篮；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c.抢断球，防守篮板球；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d.策应、补位。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e.防守和协防、补防能力。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前锋</w:t>
            </w: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a.传中、突破、个人进攻得分和中、远投得分能力；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b.封投、补位。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c.快攻意识和助攻能力；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d.抢断球、篮板球。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e.个人防守和协防、补防能力；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后卫</w:t>
            </w: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a.控球、妙传、突破和进攻组织能力；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b.中、远投得分能力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c.抢断、补位能力；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d.防守组织能力和协防能力，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7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napToGrid/>
              <w:spacing w:beforeLines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/>
              </w:rPr>
              <w:t>e.快攻意识和篮板球。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eastAsia="宋体" w:cs="宋体"/>
                <w:b w:val="0"/>
                <w:bCs w:val="0"/>
                <w:sz w:val="20"/>
                <w:szCs w:val="20"/>
                <w:lang w:val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5980430</wp:posOffset>
              </wp:positionH>
              <wp:positionV relativeFrom="page">
                <wp:posOffset>9074785</wp:posOffset>
              </wp:positionV>
              <wp:extent cx="165100" cy="1397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9pt;margin-top:714.55pt;height:11pt;width:13pt;mso-position-horizontal-relative:page;mso-position-vertical-relative:page;z-index:-251650048;mso-width-relative:page;mso-height-relative:page;" filled="f" stroked="f" coordsize="21600,21600" o:gfxdata="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4oHz2gAAAA0BAAAPAAAAAAAA&#10;AAEAIAAAACIAAABkcnMvZG93bnJldi54bWxQSwECFAAUAAAACACHTuJABi6FnBACAAAUBAAADgAA&#10;AAAAAAABACAAAAApAQAAZHJzL2Uyb0RvYy54bWxQSwUGAAAAAAYABgBZAQAAq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4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5421630</wp:posOffset>
              </wp:positionH>
              <wp:positionV relativeFrom="page">
                <wp:posOffset>586105</wp:posOffset>
              </wp:positionV>
              <wp:extent cx="711200" cy="1397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192" w:lineRule="exact"/>
                            <w:ind w:left="20"/>
                            <w:rPr>
                              <w:rFonts w:ascii="PMingLiU" w:hAnsi="PMingLiU" w:eastAsia="PMingLiU" w:cs="PMingLiU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6.9pt;margin-top:46.15pt;height:11pt;width:56pt;mso-position-horizontal-relative:page;mso-position-vertical-relative:page;z-index:-251651072;mso-width-relative:page;mso-height-relative:page;" filled="f" stroked="f" coordsize="21600,21600" o:gfxdata="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mdMAnZAAAACgEAAA8AAAAAAAAA&#10;AQAgAAAAIgAAAGRycy9kb3ducmV2LnhtbFBLAQIUABQAAAAIAIdO4kAg4fWjEAIAABQEAAAOAAAA&#10;AAAAAAEAIAAAACgBAABkcnMvZTJvRG9jLnhtbFBLBQYAAAAABgAGAFkBAAC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92" w:lineRule="exact"/>
                      <w:ind w:left="20"/>
                      <w:rPr>
                        <w:rFonts w:ascii="PMingLiU" w:hAnsi="PMingLiU" w:eastAsia="PMingLiU" w:cs="PMingLiU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28BBF"/>
    <w:multiLevelType w:val="singleLevel"/>
    <w:tmpl w:val="80228B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05743C0"/>
    <w:multiLevelType w:val="singleLevel"/>
    <w:tmpl w:val="905743C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53054F"/>
    <w:multiLevelType w:val="singleLevel"/>
    <w:tmpl w:val="435305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08FD"/>
    <w:rsid w:val="387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72"/>
      <w:ind w:left="507"/>
    </w:pPr>
    <w:rPr>
      <w:rFonts w:ascii="方正宋一简体" w:hAnsi="方正宋一简体" w:eastAsia="方正宋一简体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2020-12-25T02:13:00Z</dcterms:created>
  <dc:creator>asus</dc:creator>
  <cp:lastModifiedBy>asus</cp:lastModifiedBy>
  <dcterms:modified xsi:type="dcterms:W3CDTF">2020-12-25T02:13:11Z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